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b/>
          <w:color w:val="000000" w:themeColor="text1"/>
          <w:sz w:val="44"/>
          <w14:textFill>
            <w14:solidFill>
              <w14:schemeClr w14:val="tx1"/>
            </w14:solidFill>
          </w14:textFill>
        </w:rPr>
      </w:pPr>
    </w:p>
    <w:p>
      <w:pPr>
        <w:widowControl/>
        <w:jc w:val="center"/>
        <w:rPr>
          <w:b/>
          <w:color w:val="000000" w:themeColor="text1"/>
          <w:sz w:val="44"/>
          <w14:textFill>
            <w14:solidFill>
              <w14:schemeClr w14:val="tx1"/>
            </w14:solidFill>
          </w14:textFill>
        </w:rPr>
      </w:pPr>
      <w:r>
        <w:rPr>
          <w:rFonts w:hint="eastAsia"/>
          <w:b/>
          <w:color w:val="000000" w:themeColor="text1"/>
          <w:sz w:val="44"/>
          <w14:textFill>
            <w14:solidFill>
              <w14:schemeClr w14:val="tx1"/>
            </w14:solidFill>
          </w14:textFill>
        </w:rPr>
        <w:t>北京电子商务协会章程</w:t>
      </w:r>
    </w:p>
    <w:p>
      <w:pPr>
        <w:widowControl/>
        <w:jc w:val="center"/>
        <w:rPr>
          <w:rFonts w:cs="Tahoma" w:asciiTheme="minorEastAsia" w:hAnsiTheme="minorEastAsia"/>
          <w:color w:val="000000" w:themeColor="text1"/>
          <w:kern w:val="0"/>
          <w:sz w:val="30"/>
          <w:szCs w:val="30"/>
          <w14:textFill>
            <w14:solidFill>
              <w14:schemeClr w14:val="tx1"/>
            </w14:solidFill>
          </w14:textFill>
        </w:rPr>
      </w:pPr>
      <w:r>
        <w:rPr>
          <w:rFonts w:hint="eastAsia"/>
          <w:b/>
          <w:color w:val="000000" w:themeColor="text1"/>
          <w:sz w:val="28"/>
          <w14:textFill>
            <w14:solidFill>
              <w14:schemeClr w14:val="tx1"/>
            </w14:solidFill>
          </w14:textFill>
        </w:rPr>
        <w:t>（第五届第二次会员大会审议）</w:t>
      </w:r>
    </w:p>
    <w:p>
      <w:pPr>
        <w:numPr>
          <w:ilvl w:val="0"/>
          <w:numId w:val="1"/>
        </w:numPr>
        <w:spacing w:line="560" w:lineRule="exact"/>
        <w:jc w:val="left"/>
        <w:rPr>
          <w:rFonts w:ascii="宋体" w:hAnsi="宋体" w:cs="宋体"/>
          <w:color w:val="000000" w:themeColor="text1"/>
          <w:kern w:val="0"/>
          <w:sz w:val="32"/>
          <w:szCs w:val="32"/>
          <w:shd w:val="clear" w:color="auto" w:fill="FFFFFF"/>
          <w14:textFill>
            <w14:solidFill>
              <w14:schemeClr w14:val="tx1"/>
            </w14:solidFill>
          </w14:textFill>
        </w:rPr>
      </w:pPr>
      <w:r>
        <w:rPr>
          <w:rFonts w:hint="eastAsia" w:ascii="黑体" w:hAnsi="黑体" w:eastAsia="黑体" w:cs="Tahoma"/>
          <w:b/>
          <w:bCs/>
          <w:color w:val="000000" w:themeColor="text1"/>
          <w:kern w:val="0"/>
          <w:sz w:val="32"/>
          <w:szCs w:val="32"/>
          <w14:textFill>
            <w14:solidFill>
              <w14:schemeClr w14:val="tx1"/>
            </w14:solidFill>
          </w14:textFill>
        </w:rPr>
        <w:t>总 则</w:t>
      </w:r>
      <w:r>
        <w:rPr>
          <w:rFonts w:hint="eastAsia" w:ascii="黑体" w:hAnsi="黑体" w:eastAsia="黑体" w:cs="Tahom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第一条</w:t>
      </w:r>
      <w:r>
        <w:rPr>
          <w:rFonts w:hint="eastAsia" w:cs="Tahoma" w:asciiTheme="minorEastAsia" w:hAnsiTheme="minorEastAsia"/>
          <w:color w:val="000000" w:themeColor="text1"/>
          <w:kern w:val="0"/>
          <w:sz w:val="32"/>
          <w:szCs w:val="32"/>
          <w14:textFill>
            <w14:solidFill>
              <w14:schemeClr w14:val="tx1"/>
            </w14:solidFill>
          </w14:textFill>
        </w:rPr>
        <w:t xml:space="preserve"> 本协会定名为北京电子商务协会。英文译名：Beijing Electronic Commerce Association。英文缩写：BECA。</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 xml:space="preserve">第二条 </w:t>
      </w:r>
      <w:r>
        <w:rPr>
          <w:rFonts w:hint="eastAsia" w:cs="Tahoma" w:asciiTheme="minorEastAsia" w:hAnsiTheme="minorEastAsia"/>
          <w:color w:val="000000" w:themeColor="text1"/>
          <w:kern w:val="0"/>
          <w:sz w:val="32"/>
          <w:szCs w:val="32"/>
          <w14:textFill>
            <w14:solidFill>
              <w14:schemeClr w14:val="tx1"/>
            </w14:solidFill>
          </w14:textFill>
        </w:rPr>
        <w:t>本协会由北京市行政区域内，从事商务服务业信息化建设和电子商务等相关行业的企事业单位自愿联合发起成立，是经北京市社会团体登记管理机关核准登记的非营利性社会团体法人。</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第三条</w:t>
      </w:r>
      <w:r>
        <w:rPr>
          <w:rFonts w:hint="eastAsia" w:cs="Tahoma" w:asciiTheme="minorEastAsia" w:hAnsiTheme="minorEastAsia"/>
          <w:color w:val="000000" w:themeColor="text1"/>
          <w:kern w:val="0"/>
          <w:sz w:val="32"/>
          <w:szCs w:val="32"/>
          <w14:textFill>
            <w14:solidFill>
              <w14:schemeClr w14:val="tx1"/>
            </w14:solidFill>
          </w14:textFill>
        </w:rPr>
        <w:t xml:space="preserve"> 本协会的宗旨是：</w:t>
      </w:r>
      <w:r>
        <w:rPr>
          <w:rFonts w:hint="eastAsia" w:ascii="宋体" w:hAnsi="宋体" w:cs="仿宋_GB2312"/>
          <w:color w:val="000000" w:themeColor="text1"/>
          <w:sz w:val="32"/>
          <w:szCs w:val="32"/>
          <w14:textFill>
            <w14:solidFill>
              <w14:schemeClr w14:val="tx1"/>
            </w14:solidFill>
          </w14:textFill>
        </w:rPr>
        <w:t>本协会遵守宪法、法律法规和国家政策，践行社会主义核心价值观，遵守社会道德风尚，恪守公益宗旨，积极履行社会责任，自觉加强诚信自律建设，诚实守信，规范发展，提高社会公信力。负责人遵纪守法，勤勉尽职，保持良好个人社会信用</w:t>
      </w:r>
      <w:r>
        <w:rPr>
          <w:rFonts w:hint="eastAsia" w:cs="Tahoma" w:asciiTheme="minorEastAsia" w:hAnsiTheme="minorEastAsia"/>
          <w:color w:val="000000" w:themeColor="text1"/>
          <w:kern w:val="0"/>
          <w:sz w:val="32"/>
          <w:szCs w:val="32"/>
          <w14:textFill>
            <w14:solidFill>
              <w14:schemeClr w14:val="tx1"/>
            </w14:solidFill>
          </w14:textFill>
        </w:rPr>
        <w:t>；以创造机遇、合作共赢为主线，有效搭建政府与行业、行业与企业及企业间的沟通平台，服务政府、服务会员、服务行业、服务企业；通过开展调查研究、经验交流、考察培训、学术研讨、咨询服务、诚信建设等活动，发挥桥梁和纽带作用，履行行业代表、行业自律、行业管理、行业协调、行业服务的职能；倡导企业诚信经营，维护会员的合法权益，促进会员间的交流和合作，推动商务服务业信息化建设和电子商务的健康发展。</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 xml:space="preserve">第四条 </w:t>
      </w:r>
      <w:r>
        <w:rPr>
          <w:rFonts w:hint="eastAsia" w:ascii="宋体" w:hAnsi="宋体" w:cs="仿宋_GB2312"/>
          <w:color w:val="000000" w:themeColor="text1"/>
          <w:sz w:val="32"/>
          <w:szCs w:val="32"/>
          <w14:textFill>
            <w14:solidFill>
              <w14:schemeClr w14:val="tx1"/>
            </w14:solidFill>
          </w14:textFill>
        </w:rPr>
        <w:t>本协会坚持中国共产党的全面领导，根据中国共产党章程的规定，设立中国共产党的组织，开展党的活动，为党组织的活动提供必要条件。暂不具备单独建立党组织条件的，可以通过建立联合党组织或由上级党组织选派党建工作指导员等方式，指导开展党的工作。本会邀请党组织负责人参加或列席本会管理层会议。党组织对本会重要事项决策、重要业务活动、大额经费开支、接收大额捐赠、开展涉外活动等提出意见。</w:t>
      </w:r>
      <w:r>
        <w:rPr>
          <w:rFonts w:hint="eastAsia" w:cs="Tahoma" w:asciiTheme="minorEastAsia" w:hAnsiTheme="minorEastAsia"/>
          <w:color w:val="000000" w:themeColor="text1"/>
          <w:kern w:val="0"/>
          <w:sz w:val="32"/>
          <w:szCs w:val="32"/>
          <w14:textFill>
            <w14:solidFill>
              <w14:schemeClr w14:val="tx1"/>
            </w14:solidFill>
          </w14:textFill>
        </w:rPr>
        <w:t>本协会接受业务指导单位北京市商务局、社会团体登记管理机关北京市民政局的业务指导和监督管理。</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第五条</w:t>
      </w:r>
      <w:r>
        <w:rPr>
          <w:rFonts w:hint="eastAsia" w:cs="Tahoma" w:asciiTheme="minorEastAsia" w:hAnsiTheme="minorEastAsia"/>
          <w:color w:val="000000" w:themeColor="text1"/>
          <w:kern w:val="0"/>
          <w:sz w:val="32"/>
          <w:szCs w:val="32"/>
          <w14:textFill>
            <w14:solidFill>
              <w14:schemeClr w14:val="tx1"/>
            </w14:solidFill>
          </w14:textFill>
        </w:rPr>
        <w:t xml:space="preserve"> 本协会注册地址为北京市西城区莲花池东路丙1号。 </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ascii="黑体" w:hAnsi="黑体" w:eastAsia="黑体" w:cs="Tahoma"/>
          <w:b/>
          <w:bCs/>
          <w:color w:val="000000" w:themeColor="text1"/>
          <w:kern w:val="0"/>
          <w:sz w:val="32"/>
          <w:szCs w:val="32"/>
          <w14:textFill>
            <w14:solidFill>
              <w14:schemeClr w14:val="tx1"/>
            </w14:solidFill>
          </w14:textFill>
        </w:rPr>
        <w:t>第二章 业务范围</w:t>
      </w:r>
      <w:r>
        <w:rPr>
          <w:rFonts w:hint="eastAsia" w:ascii="黑体" w:hAnsi="黑体" w:eastAsia="黑体" w:cs="Tahom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第六条</w:t>
      </w:r>
      <w:r>
        <w:rPr>
          <w:rFonts w:hint="eastAsia" w:cs="Tahoma" w:asciiTheme="minorEastAsia" w:hAnsiTheme="minorEastAsia"/>
          <w:color w:val="000000" w:themeColor="text1"/>
          <w:kern w:val="0"/>
          <w:sz w:val="32"/>
          <w:szCs w:val="32"/>
          <w14:textFill>
            <w14:solidFill>
              <w14:schemeClr w14:val="tx1"/>
            </w14:solidFill>
          </w14:textFill>
        </w:rPr>
        <w:t xml:space="preserve"> 本协会的业务范围:</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(一)宣传贯彻党和国家的有关方针、政策、法规、条例及本会章程，协助政府有关部门制（修）定有关电子商务的发展规划、政策、法规及地方、行业标准，并推动其贯彻，引导会员认真遵守。</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(二)依法制定行规行约，搞好行业自律，维护公平竞争秩序。维护会员合法权益，为会员提供法律服务。</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三)开展商务服务业信息化及电子商务发展状况调查，行业共性情况收集，关注国内外行业动态，研究行业发展方向，探索行业发展规律；开发信息资源，编辑出版刊物，及时向会员及有关政府部门提供商务服务业信息化和电子商务发展现状、趋势及经济预测等信息，做好信息咨询服务。</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(四)开展商务服务业信息化建设和电子商务行业研讨、学术交流，优秀品牌培育、提升、宣传、推广，知识普及和技能培训。</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(五)加强国际的考察、合作与交流，协助企业吸引外资，引进国外智力，组织国内外信息化服务技术和电子商务新产品、新技术展览、展销、推广，为企业开拓国内外市场服务。</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(六)组织开展行业技术改造、技术引进、技术转让项目的可行性研究，组织开展论证、监理、评估工作，为企业决策提供咨询服务。</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 xml:space="preserve">(七)承办业务指导和监督管理部门委托的其他工作和接受会员委托的有关事项。        </w:t>
      </w:r>
    </w:p>
    <w:p>
      <w:pPr>
        <w:widowControl/>
        <w:spacing w:line="560" w:lineRule="exact"/>
        <w:jc w:val="left"/>
        <w:rPr>
          <w:rFonts w:cs="Tahoma" w:asciiTheme="minorEastAsia" w:hAnsiTheme="minorEastAsia"/>
          <w:color w:val="000000" w:themeColor="text1"/>
          <w:kern w:val="0"/>
          <w:sz w:val="32"/>
          <w:szCs w:val="32"/>
          <w14:textFill>
            <w14:solidFill>
              <w14:schemeClr w14:val="tx1"/>
            </w14:solidFill>
          </w14:textFill>
        </w:rPr>
      </w:pPr>
      <w:r>
        <w:rPr>
          <w:rFonts w:hint="eastAsia" w:ascii="黑体" w:hAnsi="黑体" w:eastAsia="黑体" w:cs="Tahoma"/>
          <w:b/>
          <w:bCs/>
          <w:color w:val="000000" w:themeColor="text1"/>
          <w:kern w:val="0"/>
          <w:sz w:val="32"/>
          <w:szCs w:val="32"/>
          <w14:textFill>
            <w14:solidFill>
              <w14:schemeClr w14:val="tx1"/>
            </w14:solidFill>
          </w14:textFill>
        </w:rPr>
        <w:t>第三章 会 员</w:t>
      </w:r>
      <w:r>
        <w:rPr>
          <w:rFonts w:hint="eastAsia" w:ascii="黑体" w:hAnsi="黑体" w:eastAsia="黑体" w:cs="Tahom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 xml:space="preserve">第七条 </w:t>
      </w:r>
      <w:r>
        <w:rPr>
          <w:rFonts w:hint="eastAsia" w:cs="Tahoma" w:asciiTheme="minorEastAsia" w:hAnsiTheme="minorEastAsia"/>
          <w:color w:val="000000" w:themeColor="text1"/>
          <w:kern w:val="0"/>
          <w:sz w:val="32"/>
          <w:szCs w:val="32"/>
          <w14:textFill>
            <w14:solidFill>
              <w14:schemeClr w14:val="tx1"/>
            </w14:solidFill>
          </w14:textFill>
        </w:rPr>
        <w:t>本协会的会员为单位会员。</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第八条</w:t>
      </w:r>
      <w:r>
        <w:rPr>
          <w:rFonts w:hint="eastAsia" w:cs="Tahoma" w:asciiTheme="minorEastAsia" w:hAnsiTheme="minorEastAsia"/>
          <w:color w:val="000000" w:themeColor="text1"/>
          <w:kern w:val="0"/>
          <w:sz w:val="32"/>
          <w:szCs w:val="32"/>
          <w14:textFill>
            <w14:solidFill>
              <w14:schemeClr w14:val="tx1"/>
            </w14:solidFill>
          </w14:textFill>
        </w:rPr>
        <w:t xml:space="preserve"> 申请加入本协会的会员，必须具备下列条件：</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(一)自愿加入本协会，尊重并拥护本协会的章程；</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(二)遵守国家法律法规和行规行约，依法经营；</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(三)在北京市依法登记注册的企事业单位、社会团体和其他有关法人、机构组织；有志为北京市流通服务业信息化和电子商务做贡献，并在本行业领域内具有一定的影响。</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第九条</w:t>
      </w:r>
      <w:r>
        <w:rPr>
          <w:rFonts w:hint="eastAsia" w:cs="Tahoma" w:asciiTheme="minorEastAsia" w:hAnsiTheme="minorEastAsia"/>
          <w:color w:val="000000" w:themeColor="text1"/>
          <w:kern w:val="0"/>
          <w:sz w:val="32"/>
          <w:szCs w:val="32"/>
          <w14:textFill>
            <w14:solidFill>
              <w14:schemeClr w14:val="tx1"/>
            </w14:solidFill>
          </w14:textFill>
        </w:rPr>
        <w:t xml:space="preserve"> 会员入会的程序是：</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(一)提交书面（含邮件）入会申请材料，包括：</w:t>
      </w:r>
    </w:p>
    <w:p>
      <w:pPr>
        <w:widowControl/>
        <w:spacing w:line="560" w:lineRule="exact"/>
        <w:ind w:firstLine="640" w:firstLineChars="200"/>
        <w:jc w:val="left"/>
        <w:rPr>
          <w:rFonts w:cs="Tahoma" w:asciiTheme="minorEastAsia" w:hAnsiTheme="minorEastAsia"/>
          <w:color w:val="000000" w:themeColor="text1"/>
          <w:kern w:val="0"/>
          <w:sz w:val="32"/>
          <w:szCs w:val="32"/>
          <w14:textFill>
            <w14:solidFill>
              <w14:schemeClr w14:val="tx1"/>
            </w14:solidFill>
          </w14:textFill>
        </w:rPr>
      </w:pPr>
      <w:r>
        <w:rPr>
          <w:rFonts w:hint="eastAsia" w:cs="Tahoma" w:asciiTheme="minorEastAsia" w:hAnsiTheme="minorEastAsia"/>
          <w:color w:val="000000" w:themeColor="text1"/>
          <w:kern w:val="0"/>
          <w:sz w:val="32"/>
          <w:szCs w:val="32"/>
          <w14:textFill>
            <w14:solidFill>
              <w14:schemeClr w14:val="tx1"/>
            </w14:solidFill>
          </w14:textFill>
        </w:rPr>
        <w:t>1.入会申请登记表；</w:t>
      </w:r>
    </w:p>
    <w:p>
      <w:pPr>
        <w:widowControl/>
        <w:spacing w:line="560" w:lineRule="exact"/>
        <w:ind w:firstLine="640" w:firstLineChars="200"/>
        <w:jc w:val="left"/>
        <w:rPr>
          <w:rFonts w:cs="Tahoma" w:asciiTheme="minorEastAsia" w:hAnsiTheme="minorEastAsia"/>
          <w:color w:val="000000" w:themeColor="text1"/>
          <w:kern w:val="0"/>
          <w:sz w:val="32"/>
          <w:szCs w:val="32"/>
          <w14:textFill>
            <w14:solidFill>
              <w14:schemeClr w14:val="tx1"/>
            </w14:solidFill>
          </w14:textFill>
        </w:rPr>
      </w:pPr>
      <w:r>
        <w:rPr>
          <w:rFonts w:hint="eastAsia" w:cs="Tahoma" w:asciiTheme="minorEastAsia" w:hAnsiTheme="minorEastAsia"/>
          <w:color w:val="000000" w:themeColor="text1"/>
          <w:kern w:val="0"/>
          <w:sz w:val="32"/>
          <w:szCs w:val="32"/>
          <w14:textFill>
            <w14:solidFill>
              <w14:schemeClr w14:val="tx1"/>
            </w14:solidFill>
          </w14:textFill>
        </w:rPr>
        <w:t>2.企业营业执照副本复印件。</w:t>
      </w:r>
    </w:p>
    <w:p>
      <w:pPr>
        <w:widowControl/>
        <w:spacing w:line="560" w:lineRule="exact"/>
        <w:ind w:firstLine="640" w:firstLineChars="200"/>
        <w:jc w:val="left"/>
        <w:rPr>
          <w:rFonts w:cs="Tahoma" w:asciiTheme="minorEastAsia" w:hAnsiTheme="minorEastAsia"/>
          <w:color w:val="000000" w:themeColor="text1"/>
          <w:kern w:val="0"/>
          <w:sz w:val="32"/>
          <w:szCs w:val="32"/>
          <w14:textFill>
            <w14:solidFill>
              <w14:schemeClr w14:val="tx1"/>
            </w14:solidFill>
          </w14:textFill>
        </w:rPr>
      </w:pPr>
      <w:r>
        <w:rPr>
          <w:rFonts w:hint="eastAsia" w:cs="Tahoma" w:asciiTheme="minorEastAsia" w:hAnsiTheme="minorEastAsia"/>
          <w:color w:val="000000" w:themeColor="text1"/>
          <w:kern w:val="0"/>
          <w:sz w:val="32"/>
          <w:szCs w:val="32"/>
          <w14:textFill>
            <w14:solidFill>
              <w14:schemeClr w14:val="tx1"/>
            </w14:solidFill>
          </w14:textFill>
        </w:rPr>
        <w:t>（上述材料均需盖公章快递或扫描发至协会秘书处）</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(二)经理事会或理事会授权的机构讨论通过；</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(三)由本协会颁发年度会员证书。</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第十条</w:t>
      </w:r>
      <w:r>
        <w:rPr>
          <w:rFonts w:hint="eastAsia" w:cs="Tahoma" w:asciiTheme="minorEastAsia" w:hAnsiTheme="minorEastAsia"/>
          <w:color w:val="000000" w:themeColor="text1"/>
          <w:kern w:val="0"/>
          <w:sz w:val="32"/>
          <w:szCs w:val="32"/>
          <w14:textFill>
            <w14:solidFill>
              <w14:schemeClr w14:val="tx1"/>
            </w14:solidFill>
          </w14:textFill>
        </w:rPr>
        <w:t xml:space="preserve"> 会员享有下列权利：</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(一)本协会的选举权、被选举权和表决权；</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(二)参加本协会的活动权；</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(三)获得本协会服务的优先权；</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(四)对本协会工作的知情权、建议权和监督权；</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(五)入会自愿，退会自由。</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第十一条</w:t>
      </w:r>
      <w:r>
        <w:rPr>
          <w:rFonts w:hint="eastAsia" w:cs="Tahoma" w:asciiTheme="minorEastAsia" w:hAnsiTheme="minorEastAsia"/>
          <w:color w:val="000000" w:themeColor="text1"/>
          <w:kern w:val="0"/>
          <w:sz w:val="32"/>
          <w:szCs w:val="32"/>
          <w14:textFill>
            <w14:solidFill>
              <w14:schemeClr w14:val="tx1"/>
            </w14:solidFill>
          </w14:textFill>
        </w:rPr>
        <w:t xml:space="preserve"> 会员应履行下列义务：</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(一)遵守本协会章程及各项规定，执行本协会的决议；</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(二)维护本协会的合法权益和声誉；</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(三)完成本协会交办的工作；</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(四)按规定缴纳会费；</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(五)向本协会反映情况，提供有关资料。</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第十二条</w:t>
      </w:r>
      <w:r>
        <w:rPr>
          <w:rFonts w:hint="eastAsia" w:cs="Tahoma" w:asciiTheme="minorEastAsia" w:hAnsiTheme="minorEastAsia"/>
          <w:color w:val="000000" w:themeColor="text1"/>
          <w:kern w:val="0"/>
          <w:sz w:val="32"/>
          <w:szCs w:val="32"/>
          <w14:textFill>
            <w14:solidFill>
              <w14:schemeClr w14:val="tx1"/>
            </w14:solidFill>
          </w14:textFill>
        </w:rPr>
        <w:t xml:space="preserve"> 会员退会应书面通知本协会，并交回该年度会员证书。会员如果一年不交纳会费或三次以上无故不参加本协会活动的，视为自动退会。退会会员名单将定期在协会网站予以公告。</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第十三条</w:t>
      </w:r>
      <w:r>
        <w:rPr>
          <w:rFonts w:hint="eastAsia" w:cs="Tahoma" w:asciiTheme="minorEastAsia" w:hAnsiTheme="minorEastAsia"/>
          <w:color w:val="000000" w:themeColor="text1"/>
          <w:kern w:val="0"/>
          <w:sz w:val="32"/>
          <w:szCs w:val="32"/>
          <w14:textFill>
            <w14:solidFill>
              <w14:schemeClr w14:val="tx1"/>
            </w14:solidFill>
          </w14:textFill>
        </w:rPr>
        <w:t xml:space="preserve"> 会员如有违反法律法规和本协会章程的行为，经理事会表决通过，予以除名，并定期在协会网站予以公布。严重违反本协会章程的行为包括但不限于：</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(一)经提醒后依然公开违反本协会的决议；</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(二)故意损害本协会的合法权益和声誉；</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 xml:space="preserve">(三)未征得本协会的同意或授权，擅自利用协会名义为会员单位或个人谋取私利。        </w:t>
      </w:r>
    </w:p>
    <w:p>
      <w:pPr>
        <w:widowControl/>
        <w:spacing w:line="560" w:lineRule="exact"/>
        <w:jc w:val="left"/>
        <w:rPr>
          <w:rFonts w:cs="Tahoma" w:asciiTheme="minorEastAsia" w:hAnsiTheme="minorEastAsia"/>
          <w:color w:val="000000" w:themeColor="text1"/>
          <w:kern w:val="0"/>
          <w:sz w:val="32"/>
          <w:szCs w:val="32"/>
          <w14:textFill>
            <w14:solidFill>
              <w14:schemeClr w14:val="tx1"/>
            </w14:solidFill>
          </w14:textFill>
        </w:rPr>
      </w:pPr>
      <w:r>
        <w:rPr>
          <w:rFonts w:hint="eastAsia" w:ascii="黑体" w:hAnsi="黑体" w:eastAsia="黑体" w:cs="Tahoma"/>
          <w:b/>
          <w:bCs/>
          <w:color w:val="000000" w:themeColor="text1"/>
          <w:kern w:val="0"/>
          <w:sz w:val="32"/>
          <w:szCs w:val="32"/>
          <w14:textFill>
            <w14:solidFill>
              <w14:schemeClr w14:val="tx1"/>
            </w14:solidFill>
          </w14:textFill>
        </w:rPr>
        <w:t>第四章 组织机构</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第十四条</w:t>
      </w:r>
      <w:r>
        <w:rPr>
          <w:rFonts w:hint="eastAsia" w:cs="Tahoma" w:asciiTheme="minorEastAsia" w:hAnsiTheme="minorEastAsia"/>
          <w:color w:val="000000" w:themeColor="text1"/>
          <w:kern w:val="0"/>
          <w:sz w:val="32"/>
          <w:szCs w:val="32"/>
          <w14:textFill>
            <w14:solidFill>
              <w14:schemeClr w14:val="tx1"/>
            </w14:solidFill>
          </w14:textFill>
        </w:rPr>
        <w:t xml:space="preserve"> 本协会的最高权力机构是会员大会。其主要职责是：</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(一)制定和修改章程；</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(二)决定本协会工作目标及发展规划；</w:t>
      </w:r>
    </w:p>
    <w:p>
      <w:pPr>
        <w:widowControl/>
        <w:spacing w:line="560" w:lineRule="exact"/>
        <w:jc w:val="left"/>
        <w:rPr>
          <w:rFonts w:cs="Tahoma" w:asciiTheme="minorEastAsia" w:hAnsiTheme="minorEastAsia"/>
          <w:color w:val="000000" w:themeColor="text1"/>
          <w:kern w:val="0"/>
          <w:sz w:val="32"/>
          <w:szCs w:val="32"/>
          <w14:textFill>
            <w14:solidFill>
              <w14:schemeClr w14:val="tx1"/>
            </w14:solidFill>
          </w14:textFill>
        </w:rPr>
      </w:pPr>
      <w:r>
        <w:rPr>
          <w:rFonts w:hint="eastAsia" w:cs="Tahoma" w:asciiTheme="minorEastAsia" w:hAnsiTheme="minorEastAsia"/>
          <w:color w:val="000000" w:themeColor="text1"/>
          <w:kern w:val="0"/>
          <w:sz w:val="32"/>
          <w:szCs w:val="32"/>
          <w14:textFill>
            <w14:solidFill>
              <w14:schemeClr w14:val="tx1"/>
            </w14:solidFill>
          </w14:textFill>
        </w:rPr>
        <w:t>(三)制定和修改理事、负责人产生办法，报党建领导机关备案；</w:t>
      </w:r>
    </w:p>
    <w:p>
      <w:pPr>
        <w:widowControl/>
        <w:spacing w:line="560" w:lineRule="exact"/>
        <w:jc w:val="left"/>
        <w:rPr>
          <w:rFonts w:hint="eastAsia" w:cs="Tahoma" w:asciiTheme="minorEastAsia" w:hAnsiTheme="minorEastAsia"/>
          <w:color w:val="000000" w:themeColor="text1"/>
          <w:kern w:val="0"/>
          <w:sz w:val="32"/>
          <w:szCs w:val="32"/>
          <w14:textFill>
            <w14:solidFill>
              <w14:schemeClr w14:val="tx1"/>
            </w14:solidFill>
          </w14:textFill>
        </w:rPr>
      </w:pPr>
      <w:r>
        <w:rPr>
          <w:rFonts w:hint="eastAsia" w:cs="Tahoma" w:asciiTheme="minorEastAsia" w:hAnsiTheme="minorEastAsia"/>
          <w:color w:val="000000" w:themeColor="text1"/>
          <w:kern w:val="0"/>
          <w:sz w:val="32"/>
          <w:szCs w:val="32"/>
          <w14:textFill>
            <w14:solidFill>
              <w14:schemeClr w14:val="tx1"/>
            </w14:solidFill>
          </w14:textFill>
        </w:rPr>
        <w:t>(四)选举和罢免理事、监事；</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(五)审议理事会、监事会的工作报告和财务报告；</w:t>
      </w:r>
    </w:p>
    <w:p>
      <w:pPr>
        <w:widowControl/>
        <w:spacing w:line="560" w:lineRule="exact"/>
        <w:jc w:val="left"/>
        <w:rPr>
          <w:rFonts w:hint="eastAsia" w:cs="Tahoma" w:asciiTheme="minorEastAsia" w:hAnsiTheme="minorEastAsia"/>
          <w:color w:val="000000" w:themeColor="text1"/>
          <w:kern w:val="0"/>
          <w:sz w:val="32"/>
          <w:szCs w:val="32"/>
          <w14:textFill>
            <w14:solidFill>
              <w14:schemeClr w14:val="tx1"/>
            </w14:solidFill>
          </w14:textFill>
        </w:rPr>
      </w:pPr>
      <w:r>
        <w:rPr>
          <w:rFonts w:hint="eastAsia" w:cs="Tahoma" w:asciiTheme="minorEastAsia" w:hAnsiTheme="minorEastAsia"/>
          <w:color w:val="000000" w:themeColor="text1"/>
          <w:kern w:val="0"/>
          <w:sz w:val="32"/>
          <w:szCs w:val="32"/>
          <w14:textFill>
            <w14:solidFill>
              <w14:schemeClr w14:val="tx1"/>
            </w14:solidFill>
          </w14:textFill>
        </w:rPr>
        <w:t>（六）制定和修改会费标准；</w:t>
      </w:r>
    </w:p>
    <w:p>
      <w:pPr>
        <w:widowControl/>
        <w:spacing w:line="560" w:lineRule="exact"/>
        <w:jc w:val="left"/>
        <w:rPr>
          <w:rFonts w:hint="eastAsia" w:cs="Tahoma" w:asciiTheme="minorEastAsia" w:hAnsiTheme="minorEastAsia"/>
          <w:color w:val="000000" w:themeColor="text1"/>
          <w:kern w:val="0"/>
          <w:sz w:val="32"/>
          <w:szCs w:val="32"/>
          <w:highlight w:val="none"/>
          <w14:textFill>
            <w14:solidFill>
              <w14:schemeClr w14:val="tx1"/>
            </w14:solidFill>
          </w14:textFill>
        </w:rPr>
      </w:pPr>
      <w:r>
        <w:rPr>
          <w:rFonts w:hint="eastAsia" w:cs="Tahoma" w:asciiTheme="minorEastAsia" w:hAnsiTheme="minorEastAsia"/>
          <w:color w:val="000000" w:themeColor="text1"/>
          <w:kern w:val="0"/>
          <w:sz w:val="32"/>
          <w:szCs w:val="32"/>
          <w14:textFill>
            <w14:solidFill>
              <w14:schemeClr w14:val="tx1"/>
            </w14:solidFill>
          </w14:textFill>
        </w:rPr>
        <w:t>（七）决定重大变更、终止事宜和其他重大事宜。</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第十五条</w:t>
      </w:r>
      <w:r>
        <w:rPr>
          <w:rFonts w:hint="eastAsia" w:cs="Tahoma" w:asciiTheme="minorEastAsia" w:hAnsiTheme="minorEastAsia"/>
          <w:color w:val="000000" w:themeColor="text1"/>
          <w:kern w:val="0"/>
          <w:sz w:val="32"/>
          <w:szCs w:val="32"/>
          <w14:textFill>
            <w14:solidFill>
              <w14:schemeClr w14:val="tx1"/>
            </w14:solidFill>
          </w14:textFill>
        </w:rPr>
        <w:t xml:space="preserve"> 会员大会每年至少召开一次，会员大会须有2/3以上的会员出席方能召开，其决议须经到会会员2/3表决通过方能生效。</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第十六条</w:t>
      </w:r>
      <w:r>
        <w:rPr>
          <w:rFonts w:hint="eastAsia" w:cs="Tahoma" w:asciiTheme="minorEastAsia" w:hAnsiTheme="minorEastAsia"/>
          <w:color w:val="000000" w:themeColor="text1"/>
          <w:kern w:val="0"/>
          <w:sz w:val="32"/>
          <w:szCs w:val="32"/>
          <w14:textFill>
            <w14:solidFill>
              <w14:schemeClr w14:val="tx1"/>
            </w14:solidFill>
          </w14:textFill>
        </w:rPr>
        <w:t xml:space="preserve"> 换届大会每届四年召开一次。召开换届大会30日前，应将换届准备材料送至业务指导单位和社会团体登记管理机关审查，确认符合换届条件后方可召开。因特殊情况需提前或延期换届的，须由理事会讨论通过，报业务指导单位审查并经社会团体登记管理机关批准同意。但延期换届最长不超过一年。</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第十七条</w:t>
      </w:r>
      <w:r>
        <w:rPr>
          <w:rFonts w:hint="eastAsia" w:cs="Tahoma" w:asciiTheme="minorEastAsia" w:hAnsiTheme="minorEastAsia"/>
          <w:color w:val="000000" w:themeColor="text1"/>
          <w:kern w:val="0"/>
          <w:sz w:val="32"/>
          <w:szCs w:val="32"/>
          <w14:textFill>
            <w14:solidFill>
              <w14:schemeClr w14:val="tx1"/>
            </w14:solidFill>
          </w14:textFill>
        </w:rPr>
        <w:t xml:space="preserve"> 理事会在会员大会闭会期间执行会员大会的决议，领导本协会开展日常工作，对会员大会负责。理事会由会长、副会长、秘书长、理事组成。</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第十八条</w:t>
      </w:r>
      <w:r>
        <w:rPr>
          <w:rFonts w:hint="eastAsia" w:cs="Tahoma" w:asciiTheme="minorEastAsia" w:hAnsiTheme="minorEastAsia"/>
          <w:color w:val="000000" w:themeColor="text1"/>
          <w:kern w:val="0"/>
          <w:sz w:val="32"/>
          <w:szCs w:val="32"/>
          <w14:textFill>
            <w14:solidFill>
              <w14:schemeClr w14:val="tx1"/>
            </w14:solidFill>
          </w14:textFill>
        </w:rPr>
        <w:t xml:space="preserve"> 理事会的职责是：</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(一)执行会员大会的决议；</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(二)选举和罢免会长、副会长、秘书长；</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(三)筹备召开会员大会，负责换届选举工作；</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(四)提出下届理事会的理事、监事的候选人；</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（五)向会员大会报告工作和财务状况；</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(六)审议决定会员加入或退出本协会；</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(七)决定办事机构、分支机构、代表机构、实体机构的设立、变更和终止及办公住所的变更；</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(八)决定各机构主要负责人的聘任；</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(九)制定内部管理制度；</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(十)领导本会各机构开展工作；</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(十一)接受监事会提出的对本协会违纪问题的处理意见，提出解决办法并接受其监督；</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(十二)决定其他重大事项。</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第十九条</w:t>
      </w:r>
      <w:r>
        <w:rPr>
          <w:rFonts w:hint="eastAsia" w:cs="Tahoma" w:asciiTheme="minorEastAsia" w:hAnsiTheme="minorEastAsia"/>
          <w:color w:val="000000" w:themeColor="text1"/>
          <w:kern w:val="0"/>
          <w:sz w:val="32"/>
          <w:szCs w:val="32"/>
          <w14:textFill>
            <w14:solidFill>
              <w14:schemeClr w14:val="tx1"/>
            </w14:solidFill>
          </w14:textFill>
        </w:rPr>
        <w:t xml:space="preserve"> 理事会须有2/3以上理事出席方能召开，其决议须经到会理事2/3以上表决通过方能生效。</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 xml:space="preserve">第二十条 </w:t>
      </w:r>
      <w:r>
        <w:rPr>
          <w:rFonts w:hint="eastAsia" w:cs="Tahoma" w:asciiTheme="minorEastAsia" w:hAnsiTheme="minorEastAsia"/>
          <w:color w:val="000000" w:themeColor="text1"/>
          <w:kern w:val="0"/>
          <w:sz w:val="32"/>
          <w:szCs w:val="32"/>
          <w14:textFill>
            <w14:solidFill>
              <w14:schemeClr w14:val="tx1"/>
            </w14:solidFill>
          </w14:textFill>
        </w:rPr>
        <w:t>理事会每年至少召开一次会议。</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 xml:space="preserve">第二十一条 </w:t>
      </w:r>
      <w:r>
        <w:rPr>
          <w:rFonts w:hint="eastAsia" w:cs="Tahoma" w:asciiTheme="minorEastAsia" w:hAnsiTheme="minorEastAsia"/>
          <w:color w:val="000000" w:themeColor="text1"/>
          <w:kern w:val="0"/>
          <w:sz w:val="32"/>
          <w:szCs w:val="32"/>
          <w14:textFill>
            <w14:solidFill>
              <w14:schemeClr w14:val="tx1"/>
            </w14:solidFill>
          </w14:textFill>
        </w:rPr>
        <w:t>本协会的会长、副会长、秘书长必须具备下列条件：</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(一)坚持党的路线、方针、政策，政治素质好；</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(二)在本协会业务领域内有较大影响和行业贡献；</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(三)最高任职年龄不超过70周岁，秘书长为专职；</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(四)身体健康，能坚持正常工作；</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(五)未受过剥夺政治权利的刑事处罚；</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(六)具有完全民事行为能力。</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第二十二条</w:t>
      </w:r>
      <w:r>
        <w:rPr>
          <w:rFonts w:hint="eastAsia" w:cs="Tahoma" w:asciiTheme="minorEastAsia" w:hAnsiTheme="minorEastAsia"/>
          <w:color w:val="000000" w:themeColor="text1"/>
          <w:kern w:val="0"/>
          <w:sz w:val="32"/>
          <w:szCs w:val="32"/>
          <w14:textFill>
            <w14:solidFill>
              <w14:schemeClr w14:val="tx1"/>
            </w14:solidFill>
          </w14:textFill>
        </w:rPr>
        <w:t xml:space="preserve"> </w:t>
      </w:r>
      <w:bookmarkStart w:id="0" w:name="_GoBack"/>
      <w:r>
        <w:rPr>
          <w:rFonts w:hint="eastAsia" w:cs="Tahoma" w:asciiTheme="minorEastAsia" w:hAnsiTheme="minorEastAsia"/>
          <w:color w:val="000000" w:themeColor="text1"/>
          <w:kern w:val="0"/>
          <w:sz w:val="32"/>
          <w:szCs w:val="32"/>
          <w:highlight w:val="none"/>
          <w14:textFill>
            <w14:solidFill>
              <w14:schemeClr w14:val="tx1"/>
            </w14:solidFill>
          </w14:textFill>
        </w:rPr>
        <w:t>本协会的法定代表人为会长。如因特殊情况需由副会长或秘书长担任法定代表人，应报业务主管单位审查并经社团登记管理机关批准同意后，方可担任，本团体法定代表人不兼任其他团体的法定代表人。</w:t>
      </w:r>
    </w:p>
    <w:p>
      <w:pPr>
        <w:widowControl/>
        <w:spacing w:line="560" w:lineRule="exact"/>
        <w:ind w:firstLine="640" w:firstLineChars="200"/>
        <w:jc w:val="left"/>
        <w:rPr>
          <w:rFonts w:cs="Tahoma" w:asciiTheme="minorEastAsia" w:hAnsiTheme="minorEastAsia"/>
          <w:color w:val="000000" w:themeColor="text1"/>
          <w:kern w:val="0"/>
          <w:sz w:val="32"/>
          <w:szCs w:val="32"/>
          <w14:textFill>
            <w14:solidFill>
              <w14:schemeClr w14:val="tx1"/>
            </w14:solidFill>
          </w14:textFill>
        </w:rPr>
      </w:pPr>
      <w:r>
        <w:rPr>
          <w:rFonts w:hint="eastAsia" w:cs="Tahoma" w:asciiTheme="minorEastAsia" w:hAnsiTheme="minorEastAsia"/>
          <w:color w:val="000000" w:themeColor="text1"/>
          <w:kern w:val="0"/>
          <w:sz w:val="32"/>
          <w:szCs w:val="32"/>
          <w:highlight w:val="none"/>
          <w14:textFill>
            <w14:solidFill>
              <w14:schemeClr w14:val="tx1"/>
            </w14:solidFill>
          </w14:textFill>
        </w:rPr>
        <w:t>会长每届任期四年，任期一般不超过两届。</w:t>
      </w:r>
      <w:r>
        <w:rPr>
          <w:rFonts w:hint="eastAsia" w:cs="Tahoma" w:asciiTheme="minorEastAsia" w:hAnsiTheme="minorEastAsia"/>
          <w:color w:val="000000" w:themeColor="text1"/>
          <w:kern w:val="0"/>
          <w:sz w:val="32"/>
          <w:szCs w:val="32"/>
          <w:highlight w:val="none"/>
          <w14:textFill>
            <w14:solidFill>
              <w14:schemeClr w14:val="tx1"/>
            </w14:solidFill>
          </w14:textFill>
        </w:rPr>
        <w:br w:type="textWrapping"/>
      </w:r>
      <w:bookmarkEnd w:id="0"/>
      <w:r>
        <w:rPr>
          <w:rFonts w:hint="eastAsia" w:cs="Tahoma" w:asciiTheme="minorEastAsia" w:hAnsiTheme="minorEastAsia"/>
          <w:b/>
          <w:color w:val="000000" w:themeColor="text1"/>
          <w:kern w:val="0"/>
          <w:sz w:val="32"/>
          <w:szCs w:val="32"/>
          <w14:textFill>
            <w14:solidFill>
              <w14:schemeClr w14:val="tx1"/>
            </w14:solidFill>
          </w14:textFill>
        </w:rPr>
        <w:t>第二十三条</w:t>
      </w:r>
      <w:r>
        <w:rPr>
          <w:rFonts w:hint="eastAsia" w:cs="Tahoma" w:asciiTheme="minorEastAsia" w:hAnsiTheme="minorEastAsia"/>
          <w:color w:val="000000" w:themeColor="text1"/>
          <w:kern w:val="0"/>
          <w:sz w:val="32"/>
          <w:szCs w:val="32"/>
          <w14:textFill>
            <w14:solidFill>
              <w14:schemeClr w14:val="tx1"/>
            </w14:solidFill>
          </w14:textFill>
        </w:rPr>
        <w:t xml:space="preserve"> 本协会会长行使下列职权：</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(一)召集和主持理事会；</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(二)检查会员大会、理事会决议的落实情况；</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(三)代表本协会签署有关重要文件；</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第二十四条</w:t>
      </w:r>
      <w:r>
        <w:rPr>
          <w:rFonts w:hint="eastAsia" w:cs="Tahoma" w:asciiTheme="minorEastAsia" w:hAnsiTheme="minorEastAsia"/>
          <w:color w:val="000000" w:themeColor="text1"/>
          <w:kern w:val="0"/>
          <w:sz w:val="32"/>
          <w:szCs w:val="32"/>
          <w14:textFill>
            <w14:solidFill>
              <w14:schemeClr w14:val="tx1"/>
            </w14:solidFill>
          </w14:textFill>
        </w:rPr>
        <w:t xml:space="preserve"> 本协会的常设办事机构为秘书处。秘书处负责协调和处理协会的日常工作。本协会设秘书长一名，副秘书长若干名。秘书长行使下列职权：</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(一)主持办事机构开展日常工作，组织实施年度计划；提出内部管理制度报理事会审定；</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(二)协调各分支机构、代表机构、实体机构开展工作；</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(三)提名各办事机构、分支机构、代表机构、实体机构主要负责人报理事会讨论决定；</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(四)提议副秘书长名单，报会长批准；</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(五)决定办事机构、代表机构、实体机构专职工作人员的聘用；</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(六)处理其他日常事务。</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第二十五条</w:t>
      </w:r>
      <w:r>
        <w:rPr>
          <w:rFonts w:hint="eastAsia" w:cs="Tahoma" w:asciiTheme="minorEastAsia" w:hAnsiTheme="minorEastAsia"/>
          <w:color w:val="000000" w:themeColor="text1"/>
          <w:kern w:val="0"/>
          <w:sz w:val="32"/>
          <w:szCs w:val="32"/>
          <w14:textFill>
            <w14:solidFill>
              <w14:schemeClr w14:val="tx1"/>
            </w14:solidFill>
          </w14:textFill>
        </w:rPr>
        <w:t xml:space="preserve"> 本协会设监事会，由三人组成，由上届理事会提名推荐，经本届会员大会选举产生，向会员大会负责，其主要职责：</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(一)选举产生监事长；</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(二)出席理事会；</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(三)监督本协会及领导成员依照《社会团体登记管理条例》和有关法律法规开展活动；</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(四)监督本协会及领导成员依照核定的章程、业务范围及内部管理制度开展活动；</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(五)对本协会成员违反本协会纪律、损害本协会利益和声誉的行为进行监督；</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(六)对本协会的财务状况进行监督；</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 xml:space="preserve">(七)对本协会的违法违纪行为提出处理意见，提交理事会并监督执行。                  </w:t>
      </w:r>
    </w:p>
    <w:p>
      <w:pPr>
        <w:widowControl/>
        <w:spacing w:line="560" w:lineRule="exact"/>
        <w:jc w:val="left"/>
        <w:rPr>
          <w:rFonts w:cs="Tahoma" w:asciiTheme="minorEastAsia" w:hAnsiTheme="minorEastAsia"/>
          <w:b/>
          <w:bCs/>
          <w:color w:val="000000" w:themeColor="text1"/>
          <w:kern w:val="0"/>
          <w:sz w:val="32"/>
          <w:szCs w:val="32"/>
          <w14:textFill>
            <w14:solidFill>
              <w14:schemeClr w14:val="tx1"/>
            </w14:solidFill>
          </w14:textFill>
        </w:rPr>
      </w:pPr>
      <w:r>
        <w:rPr>
          <w:rFonts w:hint="eastAsia" w:ascii="黑体" w:hAnsi="黑体" w:eastAsia="黑体" w:cs="Tahoma"/>
          <w:b/>
          <w:bCs/>
          <w:color w:val="000000" w:themeColor="text1"/>
          <w:kern w:val="0"/>
          <w:sz w:val="32"/>
          <w:szCs w:val="32"/>
          <w14:textFill>
            <w14:solidFill>
              <w14:schemeClr w14:val="tx1"/>
            </w14:solidFill>
          </w14:textFill>
        </w:rPr>
        <w:t>第五章 资产管理</w:t>
      </w:r>
      <w:r>
        <w:rPr>
          <w:rFonts w:hint="eastAsia" w:ascii="黑体" w:hAnsi="黑体" w:eastAsia="黑体" w:cs="Tahom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第二十六条</w:t>
      </w:r>
      <w:r>
        <w:rPr>
          <w:rFonts w:hint="eastAsia" w:cs="Tahoma" w:asciiTheme="minorEastAsia" w:hAnsiTheme="minorEastAsia"/>
          <w:color w:val="000000" w:themeColor="text1"/>
          <w:kern w:val="0"/>
          <w:sz w:val="32"/>
          <w:szCs w:val="32"/>
          <w14:textFill>
            <w14:solidFill>
              <w14:schemeClr w14:val="tx1"/>
            </w14:solidFill>
          </w14:textFill>
        </w:rPr>
        <w:t xml:space="preserve"> 本协会经费来源：</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(一)会费；</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(二)捐赠；</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(三)政府资助；</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(四)在核准的业务范围内开展活动或提供服务的收入；</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(五)利息；</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color w:val="000000" w:themeColor="text1"/>
          <w:kern w:val="0"/>
          <w:sz w:val="32"/>
          <w:szCs w:val="32"/>
          <w14:textFill>
            <w14:solidFill>
              <w14:schemeClr w14:val="tx1"/>
            </w14:solidFill>
          </w14:textFill>
        </w:rPr>
        <w:t>(六)其他合法收入。</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第二十七条</w:t>
      </w:r>
      <w:r>
        <w:rPr>
          <w:rFonts w:hint="eastAsia" w:cs="Tahoma" w:asciiTheme="minorEastAsia" w:hAnsiTheme="minorEastAsia"/>
          <w:color w:val="000000" w:themeColor="text1"/>
          <w:kern w:val="0"/>
          <w:sz w:val="32"/>
          <w:szCs w:val="32"/>
          <w14:textFill>
            <w14:solidFill>
              <w14:schemeClr w14:val="tx1"/>
            </w14:solidFill>
          </w14:textFill>
        </w:rPr>
        <w:t xml:space="preserve"> 本协会按照会员大会制定或修改的会费标准收取会员会费。</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 xml:space="preserve">第二十八条 </w:t>
      </w:r>
      <w:r>
        <w:rPr>
          <w:rFonts w:hint="eastAsia" w:cs="Tahoma" w:asciiTheme="minorEastAsia" w:hAnsiTheme="minorEastAsia"/>
          <w:color w:val="000000" w:themeColor="text1"/>
          <w:kern w:val="0"/>
          <w:sz w:val="32"/>
          <w:szCs w:val="32"/>
          <w14:textFill>
            <w14:solidFill>
              <w14:schemeClr w14:val="tx1"/>
            </w14:solidFill>
          </w14:textFill>
        </w:rPr>
        <w:t>本协会经费除用于与本会有关的、合理的支出外，全部用于本章程规定的业务范围和事业的发展，不得在会员中分配。</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第二十九条</w:t>
      </w:r>
      <w:r>
        <w:rPr>
          <w:rFonts w:hint="eastAsia" w:cs="Tahoma" w:asciiTheme="minorEastAsia" w:hAnsiTheme="minorEastAsia"/>
          <w:color w:val="000000" w:themeColor="text1"/>
          <w:kern w:val="0"/>
          <w:sz w:val="32"/>
          <w:szCs w:val="32"/>
          <w14:textFill>
            <w14:solidFill>
              <w14:schemeClr w14:val="tx1"/>
            </w14:solidFill>
          </w14:textFill>
        </w:rPr>
        <w:t xml:space="preserve"> 本</w:t>
      </w:r>
      <w:r>
        <w:rPr>
          <w:rFonts w:hint="eastAsia" w:cs="Tahoma" w:asciiTheme="minorEastAsia" w:hAnsiTheme="minorEastAsia"/>
          <w:color w:val="000000" w:themeColor="text1"/>
          <w:kern w:val="0"/>
          <w:sz w:val="32"/>
          <w:szCs w:val="32"/>
          <w:highlight w:val="yellow"/>
          <w14:textFill>
            <w14:solidFill>
              <w14:schemeClr w14:val="tx1"/>
            </w14:solidFill>
          </w14:textFill>
        </w:rPr>
        <w:t>协会执行《民间非营利组织会计制度》，建立严格的财务管理制度，保证会计资料合法、真实、准确、完整。</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第三十条</w:t>
      </w:r>
      <w:r>
        <w:rPr>
          <w:rFonts w:hint="eastAsia" w:cs="Tahoma" w:asciiTheme="minorEastAsia" w:hAnsiTheme="minorEastAsia"/>
          <w:color w:val="000000" w:themeColor="text1"/>
          <w:kern w:val="0"/>
          <w:sz w:val="32"/>
          <w:szCs w:val="32"/>
          <w14:textFill>
            <w14:solidFill>
              <w14:schemeClr w14:val="tx1"/>
            </w14:solidFill>
          </w14:textFill>
        </w:rPr>
        <w:t xml:space="preserve"> 本协会配备具有专业资格的会计人员。会计不得兼任出纳。会计人员必须进行会计核算，实行会计监督。会计人员调动工作或离职时，必须与接管人员办清交接手续。</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 xml:space="preserve">第三十一条 </w:t>
      </w:r>
      <w:r>
        <w:rPr>
          <w:rFonts w:hint="eastAsia" w:cs="Tahoma" w:asciiTheme="minorEastAsia" w:hAnsiTheme="minorEastAsia"/>
          <w:color w:val="000000" w:themeColor="text1"/>
          <w:kern w:val="0"/>
          <w:sz w:val="32"/>
          <w:szCs w:val="32"/>
          <w14:textFill>
            <w14:solidFill>
              <w14:schemeClr w14:val="tx1"/>
            </w14:solidFill>
          </w14:textFill>
        </w:rPr>
        <w:t>本协会的资产管理执行国家规定的财务管理制度，接受会员大会和有关部门的监督。资产来源属于政府拨款或者社会捐赠、资助的，必须接受审计机关的监督，并将有关情况以适当方式向社会公布。</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第三十二条</w:t>
      </w:r>
      <w:r>
        <w:rPr>
          <w:rFonts w:hint="eastAsia" w:cs="Tahoma" w:asciiTheme="minorEastAsia" w:hAnsiTheme="minorEastAsia"/>
          <w:color w:val="000000" w:themeColor="text1"/>
          <w:kern w:val="0"/>
          <w:sz w:val="32"/>
          <w:szCs w:val="32"/>
          <w14:textFill>
            <w14:solidFill>
              <w14:schemeClr w14:val="tx1"/>
            </w14:solidFill>
          </w14:textFill>
        </w:rPr>
        <w:t xml:space="preserve"> 本协会换届或更换法定代表人之前必须进行财务审计。</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第三十三条</w:t>
      </w:r>
      <w:r>
        <w:rPr>
          <w:rFonts w:hint="eastAsia" w:cs="Tahoma" w:asciiTheme="minorEastAsia" w:hAnsiTheme="minorEastAsia"/>
          <w:color w:val="000000" w:themeColor="text1"/>
          <w:kern w:val="0"/>
          <w:sz w:val="32"/>
          <w:szCs w:val="32"/>
          <w14:textFill>
            <w14:solidFill>
              <w14:schemeClr w14:val="tx1"/>
            </w14:solidFill>
          </w14:textFill>
        </w:rPr>
        <w:t xml:space="preserve"> 本协会的全部资产及其增值为本协会所有，任何单位、个人不得侵占、私分和挪用，也不得在会员中分配。</w:t>
      </w:r>
    </w:p>
    <w:p>
      <w:pPr>
        <w:widowControl/>
        <w:spacing w:line="560" w:lineRule="exact"/>
        <w:jc w:val="left"/>
        <w:rPr>
          <w:rFonts w:cs="Tahoma" w:asciiTheme="minorEastAsia" w:hAnsiTheme="minorEastAsia"/>
          <w:color w:val="000000" w:themeColor="text1"/>
          <w:kern w:val="0"/>
          <w:sz w:val="32"/>
          <w:szCs w:val="32"/>
          <w14:textFill>
            <w14:solidFill>
              <w14:schemeClr w14:val="tx1"/>
            </w14:solidFill>
          </w14:textFill>
        </w:rPr>
      </w:pPr>
      <w:r>
        <w:rPr>
          <w:rFonts w:ascii="黑体" w:hAnsi="黑体" w:eastAsia="黑体" w:cs="Tahoma"/>
          <w:b/>
          <w:bCs/>
          <w:color w:val="000000" w:themeColor="text1"/>
          <w:kern w:val="0"/>
          <w:sz w:val="32"/>
          <w:szCs w:val="32"/>
          <w14:textFill>
            <w14:solidFill>
              <w14:schemeClr w14:val="tx1"/>
            </w14:solidFill>
          </w14:textFill>
        </w:rPr>
        <w:t>第六章</w:t>
      </w:r>
      <w:r>
        <w:rPr>
          <w:rFonts w:hint="eastAsia" w:ascii="黑体" w:hAnsi="黑体" w:eastAsia="黑体" w:cs="Tahoma"/>
          <w:b/>
          <w:bCs/>
          <w:color w:val="000000" w:themeColor="text1"/>
          <w:kern w:val="0"/>
          <w:sz w:val="32"/>
          <w:szCs w:val="32"/>
          <w14:textFill>
            <w14:solidFill>
              <w14:schemeClr w14:val="tx1"/>
            </w14:solidFill>
          </w14:textFill>
        </w:rPr>
        <w:t xml:space="preserve"> 终止程序                                                                     </w:t>
      </w:r>
      <w:r>
        <w:rPr>
          <w:rFonts w:hint="eastAsia" w:cs="Tahoma" w:asciiTheme="minorEastAsia" w:hAnsiTheme="minorEastAsia"/>
          <w:b/>
          <w:color w:val="000000" w:themeColor="text1"/>
          <w:kern w:val="0"/>
          <w:sz w:val="32"/>
          <w:szCs w:val="32"/>
          <w14:textFill>
            <w14:solidFill>
              <w14:schemeClr w14:val="tx1"/>
            </w14:solidFill>
          </w14:textFill>
        </w:rPr>
        <w:t>第三十四条</w:t>
      </w:r>
      <w:r>
        <w:rPr>
          <w:rFonts w:hint="eastAsia" w:cs="Tahoma" w:asciiTheme="minorEastAsia" w:hAnsiTheme="minorEastAsia"/>
          <w:color w:val="000000" w:themeColor="text1"/>
          <w:kern w:val="0"/>
          <w:sz w:val="32"/>
          <w:szCs w:val="32"/>
          <w14:textFill>
            <w14:solidFill>
              <w14:schemeClr w14:val="tx1"/>
            </w14:solidFill>
          </w14:textFill>
        </w:rPr>
        <w:t xml:space="preserve"> 本协会完成重组、自行解散或由于分立、合并等原因需要注销的，由理事会提出终止动议。</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第三十五条</w:t>
      </w:r>
      <w:r>
        <w:rPr>
          <w:rFonts w:hint="eastAsia" w:cs="Tahoma" w:asciiTheme="minorEastAsia" w:hAnsiTheme="minorEastAsia"/>
          <w:color w:val="000000" w:themeColor="text1"/>
          <w:kern w:val="0"/>
          <w:sz w:val="32"/>
          <w:szCs w:val="32"/>
          <w14:textFill>
            <w14:solidFill>
              <w14:schemeClr w14:val="tx1"/>
            </w14:solidFill>
          </w14:textFill>
        </w:rPr>
        <w:t xml:space="preserve"> 本协会终止动议须经会员大会表决通过，并报业务指导单位审查同意。</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第三十六条</w:t>
      </w:r>
      <w:r>
        <w:rPr>
          <w:rFonts w:hint="eastAsia" w:cs="Tahoma" w:asciiTheme="minorEastAsia" w:hAnsiTheme="minorEastAsia"/>
          <w:color w:val="000000" w:themeColor="text1"/>
          <w:kern w:val="0"/>
          <w:sz w:val="32"/>
          <w:szCs w:val="32"/>
          <w14:textFill>
            <w14:solidFill>
              <w14:schemeClr w14:val="tx1"/>
            </w14:solidFill>
          </w14:textFill>
        </w:rPr>
        <w:t xml:space="preserve"> 本协会终止前，须在业务指导单位指导下依法成立清算组织，清理债权债务，处理善后事宜。清算期间，不得开展清算以指导外的活动。</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第三十七条</w:t>
      </w:r>
      <w:r>
        <w:rPr>
          <w:rFonts w:hint="eastAsia" w:cs="Tahoma" w:asciiTheme="minorEastAsia" w:hAnsiTheme="minorEastAsia"/>
          <w:color w:val="000000" w:themeColor="text1"/>
          <w:kern w:val="0"/>
          <w:sz w:val="32"/>
          <w:szCs w:val="32"/>
          <w14:textFill>
            <w14:solidFill>
              <w14:schemeClr w14:val="tx1"/>
            </w14:solidFill>
          </w14:textFill>
        </w:rPr>
        <w:t xml:space="preserve"> 本协会经社会团体登记管理机关办理注销登记手续后即为终止。</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第三十八条</w:t>
      </w:r>
      <w:r>
        <w:rPr>
          <w:rFonts w:hint="eastAsia" w:cs="Tahoma" w:asciiTheme="minorEastAsia" w:hAnsiTheme="minorEastAsia"/>
          <w:color w:val="000000" w:themeColor="text1"/>
          <w:kern w:val="0"/>
          <w:sz w:val="32"/>
          <w:szCs w:val="32"/>
          <w14:textFill>
            <w14:solidFill>
              <w14:schemeClr w14:val="tx1"/>
            </w14:solidFill>
          </w14:textFill>
        </w:rPr>
        <w:t xml:space="preserve"> 本协会终止后的剩余财产，在业务指导单位和社会团体登记管理机关的监督下，按照国家有关规定，用于发展与本协会宗旨相关的事业。                              </w:t>
      </w:r>
    </w:p>
    <w:p>
      <w:pPr>
        <w:widowControl/>
        <w:spacing w:line="560" w:lineRule="exact"/>
        <w:jc w:val="left"/>
        <w:rPr>
          <w:rFonts w:cs="Tahoma" w:asciiTheme="minorEastAsia" w:hAnsiTheme="minorEastAsia"/>
          <w:color w:val="000000" w:themeColor="text1"/>
          <w:kern w:val="0"/>
          <w:sz w:val="32"/>
          <w:szCs w:val="32"/>
          <w14:textFill>
            <w14:solidFill>
              <w14:schemeClr w14:val="tx1"/>
            </w14:solidFill>
          </w14:textFill>
        </w:rPr>
      </w:pPr>
      <w:r>
        <w:rPr>
          <w:rFonts w:hint="eastAsia" w:ascii="黑体" w:hAnsi="黑体" w:eastAsia="黑体" w:cs="Tahoma"/>
          <w:b/>
          <w:bCs/>
          <w:color w:val="000000" w:themeColor="text1"/>
          <w:kern w:val="0"/>
          <w:sz w:val="32"/>
          <w:szCs w:val="32"/>
          <w14:textFill>
            <w14:solidFill>
              <w14:schemeClr w14:val="tx1"/>
            </w14:solidFill>
          </w14:textFill>
        </w:rPr>
        <w:t>第七章 附 则</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第三十九条</w:t>
      </w:r>
      <w:r>
        <w:rPr>
          <w:rFonts w:hint="eastAsia" w:cs="Tahoma" w:asciiTheme="minorEastAsia" w:hAnsiTheme="minorEastAsia"/>
          <w:color w:val="000000" w:themeColor="text1"/>
          <w:kern w:val="0"/>
          <w:sz w:val="32"/>
          <w:szCs w:val="32"/>
          <w14:textFill>
            <w14:solidFill>
              <w14:schemeClr w14:val="tx1"/>
            </w14:solidFill>
          </w14:textFill>
        </w:rPr>
        <w:t xml:space="preserve"> 本章程经第五届第二次会员大会表决通过。</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 xml:space="preserve">第四十条 </w:t>
      </w:r>
      <w:r>
        <w:rPr>
          <w:rFonts w:hint="eastAsia" w:cs="Tahoma" w:asciiTheme="minorEastAsia" w:hAnsiTheme="minorEastAsia"/>
          <w:color w:val="000000" w:themeColor="text1"/>
          <w:kern w:val="0"/>
          <w:sz w:val="32"/>
          <w:szCs w:val="32"/>
          <w14:textFill>
            <w14:solidFill>
              <w14:schemeClr w14:val="tx1"/>
            </w14:solidFill>
          </w14:textFill>
        </w:rPr>
        <w:t>本章程的解释权属本协会的理事会。</w:t>
      </w:r>
      <w:r>
        <w:rPr>
          <w:rFonts w:hint="eastAsia" w:cs="Tahoma" w:asciiTheme="minorEastAsia" w:hAnsiTheme="minorEastAsia"/>
          <w:color w:val="000000" w:themeColor="text1"/>
          <w:kern w:val="0"/>
          <w:sz w:val="32"/>
          <w:szCs w:val="32"/>
          <w14:textFill>
            <w14:solidFill>
              <w14:schemeClr w14:val="tx1"/>
            </w14:solidFill>
          </w14:textFill>
        </w:rPr>
        <w:br w:type="textWrapping"/>
      </w:r>
      <w:r>
        <w:rPr>
          <w:rFonts w:hint="eastAsia" w:cs="Tahoma" w:asciiTheme="minorEastAsia" w:hAnsiTheme="minorEastAsia"/>
          <w:b/>
          <w:color w:val="000000" w:themeColor="text1"/>
          <w:kern w:val="0"/>
          <w:sz w:val="32"/>
          <w:szCs w:val="32"/>
          <w14:textFill>
            <w14:solidFill>
              <w14:schemeClr w14:val="tx1"/>
            </w14:solidFill>
          </w14:textFill>
        </w:rPr>
        <w:t>第四十一条</w:t>
      </w:r>
      <w:r>
        <w:rPr>
          <w:rFonts w:hint="eastAsia" w:cs="Tahoma" w:asciiTheme="minorEastAsia" w:hAnsiTheme="minorEastAsia"/>
          <w:color w:val="000000" w:themeColor="text1"/>
          <w:kern w:val="0"/>
          <w:sz w:val="32"/>
          <w:szCs w:val="32"/>
          <w14:textFill>
            <w14:solidFill>
              <w14:schemeClr w14:val="tx1"/>
            </w14:solidFill>
          </w14:textFill>
        </w:rPr>
        <w:t xml:space="preserve"> 本章程自社会团体登记管理机关核准之日起生效。</w:t>
      </w:r>
      <w:r>
        <w:rPr>
          <w:rFonts w:cs="Tahoma" w:asciiTheme="minorEastAsia" w:hAnsiTheme="minorEastAsia"/>
          <w:color w:val="000000" w:themeColor="text1"/>
          <w:kern w:val="0"/>
          <w:sz w:val="32"/>
          <w:szCs w:val="32"/>
          <w14:textFill>
            <w14:solidFill>
              <w14:schemeClr w14:val="tx1"/>
            </w14:solidFill>
          </w14:textFill>
        </w:rPr>
        <w:br w:type="textWrapping"/>
      </w:r>
    </w:p>
    <w:p>
      <w:pPr>
        <w:spacing w:line="560" w:lineRule="exact"/>
        <w:ind w:firstLine="640" w:firstLineChars="200"/>
        <w:jc w:val="left"/>
        <w:rPr>
          <w:color w:val="000000" w:themeColor="text1"/>
          <w:sz w:val="32"/>
          <w:szCs w:val="32"/>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62E316"/>
    <w:multiLevelType w:val="singleLevel"/>
    <w:tmpl w:val="4562E316"/>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MDBjNDUxMDgwYzNhODM2NGFiZjVmNDljZDFmMGMifQ=="/>
  </w:docVars>
  <w:rsids>
    <w:rsidRoot w:val="007D5E5F"/>
    <w:rsid w:val="00013C2A"/>
    <w:rsid w:val="000269AB"/>
    <w:rsid w:val="00040ED4"/>
    <w:rsid w:val="000460CE"/>
    <w:rsid w:val="000A5E2A"/>
    <w:rsid w:val="000C5FAF"/>
    <w:rsid w:val="00114E1F"/>
    <w:rsid w:val="00127876"/>
    <w:rsid w:val="0013324D"/>
    <w:rsid w:val="00135895"/>
    <w:rsid w:val="0025038C"/>
    <w:rsid w:val="002651EE"/>
    <w:rsid w:val="00270F86"/>
    <w:rsid w:val="002D34C8"/>
    <w:rsid w:val="00356CC7"/>
    <w:rsid w:val="003638E8"/>
    <w:rsid w:val="0044202A"/>
    <w:rsid w:val="00476422"/>
    <w:rsid w:val="00494A03"/>
    <w:rsid w:val="004C1F35"/>
    <w:rsid w:val="004C7E5B"/>
    <w:rsid w:val="00527135"/>
    <w:rsid w:val="0053325F"/>
    <w:rsid w:val="006B3781"/>
    <w:rsid w:val="007366CF"/>
    <w:rsid w:val="00737C81"/>
    <w:rsid w:val="007721BB"/>
    <w:rsid w:val="00785294"/>
    <w:rsid w:val="007C00C6"/>
    <w:rsid w:val="007D5E5F"/>
    <w:rsid w:val="0086233F"/>
    <w:rsid w:val="008C492B"/>
    <w:rsid w:val="008E3F0F"/>
    <w:rsid w:val="00927B0F"/>
    <w:rsid w:val="009B2827"/>
    <w:rsid w:val="009E54E3"/>
    <w:rsid w:val="00A84C3F"/>
    <w:rsid w:val="00B04D6D"/>
    <w:rsid w:val="00B3163F"/>
    <w:rsid w:val="00B54019"/>
    <w:rsid w:val="00BE7392"/>
    <w:rsid w:val="00C808DB"/>
    <w:rsid w:val="00CD5D59"/>
    <w:rsid w:val="00D31D9F"/>
    <w:rsid w:val="00DA4F81"/>
    <w:rsid w:val="00DD064F"/>
    <w:rsid w:val="00DD6B04"/>
    <w:rsid w:val="00DF602D"/>
    <w:rsid w:val="00E374C9"/>
    <w:rsid w:val="00E64B04"/>
    <w:rsid w:val="00E92843"/>
    <w:rsid w:val="00F52179"/>
    <w:rsid w:val="00F70DB5"/>
    <w:rsid w:val="00F735E0"/>
    <w:rsid w:val="00FB4E97"/>
    <w:rsid w:val="00FC6F48"/>
    <w:rsid w:val="00FF4B48"/>
    <w:rsid w:val="05960E4B"/>
    <w:rsid w:val="0D445B34"/>
    <w:rsid w:val="12B5606C"/>
    <w:rsid w:val="320D771E"/>
    <w:rsid w:val="34832780"/>
    <w:rsid w:val="37DD7F01"/>
    <w:rsid w:val="430F2F5F"/>
    <w:rsid w:val="460D74FE"/>
    <w:rsid w:val="4DA53E4F"/>
    <w:rsid w:val="56603C81"/>
    <w:rsid w:val="6150398D"/>
    <w:rsid w:val="70176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autoRedefine/>
    <w:semiHidden/>
    <w:unhideWhenUsed/>
    <w:uiPriority w:val="0"/>
    <w:pPr>
      <w:jc w:val="left"/>
    </w:pPr>
  </w:style>
  <w:style w:type="paragraph" w:styleId="3">
    <w:name w:val="Balloon Text"/>
    <w:basedOn w:val="1"/>
    <w:link w:val="11"/>
    <w:semiHidden/>
    <w:unhideWhenUsed/>
    <w:qFormat/>
    <w:uiPriority w:val="0"/>
    <w:rPr>
      <w:sz w:val="18"/>
      <w:szCs w:val="18"/>
    </w:rPr>
  </w:style>
  <w:style w:type="paragraph" w:styleId="4">
    <w:name w:val="footer"/>
    <w:basedOn w:val="1"/>
    <w:autoRedefine/>
    <w:unhideWhenUsed/>
    <w:qFormat/>
    <w:uiPriority w:val="0"/>
    <w:pPr>
      <w:tabs>
        <w:tab w:val="center" w:pos="4153"/>
        <w:tab w:val="right" w:pos="8306"/>
      </w:tabs>
      <w:snapToGrid w:val="0"/>
      <w:jc w:val="left"/>
    </w:pPr>
    <w:rPr>
      <w:sz w:val="18"/>
    </w:rPr>
  </w:style>
  <w:style w:type="paragraph" w:styleId="5">
    <w:name w:val="header"/>
    <w:basedOn w:val="1"/>
    <w:link w:val="10"/>
    <w:autoRedefine/>
    <w:unhideWhenUsed/>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autoRedefine/>
    <w:unhideWhenUsed/>
    <w:qFormat/>
    <w:uiPriority w:val="0"/>
  </w:style>
  <w:style w:type="character" w:styleId="9">
    <w:name w:val="annotation reference"/>
    <w:basedOn w:val="7"/>
    <w:semiHidden/>
    <w:unhideWhenUsed/>
    <w:qFormat/>
    <w:uiPriority w:val="0"/>
    <w:rPr>
      <w:sz w:val="21"/>
      <w:szCs w:val="21"/>
    </w:rPr>
  </w:style>
  <w:style w:type="character" w:customStyle="1" w:styleId="10">
    <w:name w:val="页眉 Char"/>
    <w:basedOn w:val="7"/>
    <w:link w:val="5"/>
    <w:autoRedefine/>
    <w:qFormat/>
    <w:uiPriority w:val="0"/>
    <w:rPr>
      <w:kern w:val="2"/>
      <w:sz w:val="18"/>
      <w:szCs w:val="18"/>
    </w:rPr>
  </w:style>
  <w:style w:type="character" w:customStyle="1" w:styleId="11">
    <w:name w:val="批注框文本 Char"/>
    <w:basedOn w:val="7"/>
    <w:link w:val="3"/>
    <w:semiHidden/>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689</Words>
  <Characters>3929</Characters>
  <Lines>32</Lines>
  <Paragraphs>9</Paragraphs>
  <TotalTime>20</TotalTime>
  <ScaleCrop>false</ScaleCrop>
  <LinksUpToDate>false</LinksUpToDate>
  <CharactersWithSpaces>4609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2024-03-26T01:02:00Z</dcterms:created>
  <dc:creator>q</dc:creator>
  <cp:lastModifiedBy>～雅瑄～</cp:lastModifiedBy>
  <dcterms:modified xsi:type="dcterms:W3CDTF">2024-03-31T15:34:30Z</dcterms:modified>
  <dc:title>附件11:换届大会会议纪要</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90905550512B42389F1180F0F4286E8F_13</vt:lpwstr>
  </property>
</Properties>
</file>